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план эвакуации при пожаре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Разработаем макет плана эвакуации по ГОСТ 34428-2018 (фотолюминесцентный). Срок — 1–2 рабочих дня. Печать — в любой типографии или закажем.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Объект и размещение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и назначение объекта (офис, магазин, школа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Сколько планов нужно (обычно по этажу + секционные)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Этажность; примерная площадь этажа,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Формат: этажный (обычно А3) и/или секционный (А4)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Особые зоны: серверные, склады, кухни, эвакуационные лестницы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Нужна ли печать на фотолюминесцентной основе (или только макет-файл)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Поэтажные планы БТИ (обязательно — по ним чертим маршруты)</w:t>
      </w:r>
    </w:p>
    <w:p>
      <w:pPr>
        <w:pStyle w:val="ListBullet"/>
      </w:pPr>
      <w:r>
        <w:t>Фото фактических выходов/лестниц — помогает</w:t>
      </w:r>
    </w:p>
    <w:p>
      <w:pPr>
        <w:pStyle w:val="ListBullet"/>
      </w:pPr>
      <w:r>
        <w:t>Прежний план эвакуации,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